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562"/>
        <w:gridCol w:w="3562"/>
      </w:tblGrid>
      <w:tr w:rsidR="008E7E83" w:rsidTr="008E7E83">
        <w:tc>
          <w:tcPr>
            <w:tcW w:w="3562" w:type="dxa"/>
          </w:tcPr>
          <w:bookmarkStart w:id="0" w:name="_GoBack"/>
          <w:bookmarkEnd w:id="0"/>
          <w:p w:rsidR="008E7E83" w:rsidRDefault="007A0333" w:rsidP="007A0333">
            <w:pPr>
              <w:ind w:left="567"/>
            </w:pPr>
            <w:r>
              <w:object w:dxaOrig="6719" w:dyaOrig="9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5pt;height:82.25pt" o:ole="">
                  <v:imagedata r:id="rId6" o:title=""/>
                </v:shape>
                <o:OLEObject Type="Embed" ProgID="MSPhotoEd.3" ShapeID="_x0000_i1025" DrawAspect="Content" ObjectID="_1537964954" r:id="rId7"/>
              </w:object>
            </w:r>
          </w:p>
        </w:tc>
        <w:tc>
          <w:tcPr>
            <w:tcW w:w="3562" w:type="dxa"/>
          </w:tcPr>
          <w:p w:rsidR="008E7E83" w:rsidRDefault="008E7E83" w:rsidP="008E7E83">
            <w:pPr>
              <w:jc w:val="center"/>
            </w:pPr>
          </w:p>
        </w:tc>
        <w:tc>
          <w:tcPr>
            <w:tcW w:w="3562" w:type="dxa"/>
          </w:tcPr>
          <w:p w:rsidR="008E7E83" w:rsidRDefault="008E7E83" w:rsidP="008E7E83">
            <w:pPr>
              <w:jc w:val="center"/>
            </w:pPr>
          </w:p>
        </w:tc>
      </w:tr>
    </w:tbl>
    <w:p w:rsidR="004616C0" w:rsidRPr="00CC0BD0" w:rsidRDefault="004616C0" w:rsidP="008E7E83">
      <w:pPr>
        <w:spacing w:after="0" w:line="240" w:lineRule="auto"/>
        <w:jc w:val="both"/>
        <w:rPr>
          <w:sz w:val="18"/>
          <w:szCs w:val="18"/>
        </w:rPr>
      </w:pPr>
    </w:p>
    <w:p w:rsidR="008E7E83" w:rsidRDefault="008E7E83" w:rsidP="008E7E83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DCC8DD3" wp14:editId="2B69D53C">
                <wp:extent cx="3600000" cy="1828800"/>
                <wp:effectExtent l="0" t="0" r="0" b="825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E83" w:rsidRPr="008E7E83" w:rsidRDefault="008E7E83" w:rsidP="008E7E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7E83"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Tarifs 201</w:t>
                            </w:r>
                            <w:r w:rsidR="00DF733F"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8E7E83"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 201</w:t>
                            </w:r>
                            <w:r w:rsidR="00DF733F"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283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" filled="f" stroked="f">
                <v:textbox style="mso-fit-shape-to-text:t">
                  <w:txbxContent>
                    <w:p w:rsidR="008E7E83" w:rsidRPr="008E7E83" w:rsidRDefault="008E7E83" w:rsidP="008E7E83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7E83">
                        <w:rPr>
                          <w:b/>
                          <w:color w:val="4F81BD" w:themeColor="accen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Tarifs 201</w:t>
                      </w:r>
                      <w:r w:rsidR="00DF733F">
                        <w:rPr>
                          <w:b/>
                          <w:color w:val="4F81BD" w:themeColor="accen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8E7E83">
                        <w:rPr>
                          <w:b/>
                          <w:color w:val="4F81BD" w:themeColor="accen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 201</w:t>
                      </w:r>
                      <w:r w:rsidR="00DF733F">
                        <w:rPr>
                          <w:b/>
                          <w:color w:val="4F81BD" w:themeColor="accen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7E83" w:rsidRPr="00CC0BD0" w:rsidRDefault="008E7E83" w:rsidP="008E7E83">
      <w:pPr>
        <w:spacing w:after="0" w:line="240" w:lineRule="auto"/>
        <w:jc w:val="both"/>
        <w:rPr>
          <w:sz w:val="18"/>
          <w:szCs w:val="18"/>
        </w:rPr>
      </w:pPr>
    </w:p>
    <w:p w:rsidR="008E7E83" w:rsidRPr="00CC0BD0" w:rsidRDefault="008E7E83" w:rsidP="008E7E83">
      <w:pPr>
        <w:spacing w:after="0" w:line="240" w:lineRule="auto"/>
        <w:jc w:val="both"/>
        <w:rPr>
          <w:sz w:val="18"/>
          <w:szCs w:val="18"/>
        </w:rPr>
      </w:pPr>
    </w:p>
    <w:p w:rsidR="008E7E83" w:rsidRDefault="008E7E83" w:rsidP="00524C3B">
      <w:pPr>
        <w:spacing w:after="0" w:line="240" w:lineRule="auto"/>
        <w:ind w:left="567" w:right="567"/>
        <w:jc w:val="both"/>
      </w:pPr>
      <w:r>
        <w:t>Le</w:t>
      </w:r>
      <w:r w:rsidR="00C354FB">
        <w:t>s</w:t>
      </w:r>
      <w:r>
        <w:t xml:space="preserve"> tarif</w:t>
      </w:r>
      <w:r w:rsidR="00C354FB">
        <w:t>s</w:t>
      </w:r>
      <w:r>
        <w:t xml:space="preserve"> imprimé</w:t>
      </w:r>
      <w:r w:rsidR="00C354FB">
        <w:t>s</w:t>
      </w:r>
      <w:r>
        <w:t xml:space="preserve"> au verso vous donne</w:t>
      </w:r>
      <w:r w:rsidR="00C354FB">
        <w:t>nt</w:t>
      </w:r>
      <w:r>
        <w:t xml:space="preserve"> la somme à régler chaque mois en fonction du régime </w:t>
      </w:r>
      <w:r w:rsidR="00C354FB">
        <w:t xml:space="preserve">           </w:t>
      </w:r>
      <w:r>
        <w:t xml:space="preserve">et de la classe de votre enfant. Ces montants sont approximatifs, car ils ne tiennent pas compte </w:t>
      </w:r>
      <w:r w:rsidR="00524C3B">
        <w:t xml:space="preserve">           </w:t>
      </w:r>
      <w:r>
        <w:t>des éventuels suppléments ou réductions (voir options et réductions ci-dessous).</w:t>
      </w:r>
    </w:p>
    <w:p w:rsidR="008E7E83" w:rsidRPr="00CC0BD0" w:rsidRDefault="008E7E8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7A0333" w:rsidRPr="00CC0BD0" w:rsidRDefault="007A033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8E7E83" w:rsidRPr="00524C3B" w:rsidRDefault="008E7E83" w:rsidP="00524C3B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 w:rsidRPr="00524C3B">
        <w:rPr>
          <w:b/>
          <w:sz w:val="24"/>
          <w:szCs w:val="24"/>
        </w:rPr>
        <w:t xml:space="preserve">1 – </w:t>
      </w:r>
      <w:r w:rsidRPr="00524C3B">
        <w:rPr>
          <w:b/>
          <w:sz w:val="24"/>
          <w:szCs w:val="24"/>
          <w:u w:val="single"/>
        </w:rPr>
        <w:t>CONTRIBUTION FAMILIALE</w:t>
      </w:r>
    </w:p>
    <w:p w:rsidR="008E7E83" w:rsidRPr="00CC0BD0" w:rsidRDefault="008E7E8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8E7E83" w:rsidRDefault="008E7E83" w:rsidP="00524C3B">
      <w:pPr>
        <w:spacing w:after="0" w:line="240" w:lineRule="auto"/>
        <w:ind w:left="936" w:right="567"/>
        <w:jc w:val="both"/>
      </w:pPr>
      <w:r>
        <w:t>Le fonctionnement de l’établissement est financé en partie par l’Etat et les collectivités territoriales (Conseil Général pour le</w:t>
      </w:r>
      <w:r w:rsidR="00C354FB">
        <w:t>s</w:t>
      </w:r>
      <w:r>
        <w:t xml:space="preserve"> collège</w:t>
      </w:r>
      <w:r w:rsidR="00C354FB">
        <w:t>s</w:t>
      </w:r>
      <w:r>
        <w:t>, Conseil Régional pour le</w:t>
      </w:r>
      <w:r w:rsidR="00C354FB">
        <w:t>s</w:t>
      </w:r>
      <w:r>
        <w:t xml:space="preserve"> lycée</w:t>
      </w:r>
      <w:r w:rsidR="00C354FB">
        <w:t>s</w:t>
      </w:r>
      <w:r>
        <w:t xml:space="preserve">). L’investissement (constructions, achat de mobilier, de matériel) est quant à lui à la charge des familles. Il est couvert </w:t>
      </w:r>
      <w:r w:rsidR="00524C3B">
        <w:t xml:space="preserve">                         </w:t>
      </w:r>
      <w:r>
        <w:t xml:space="preserve">par les contributions familiales et les dons. L’entretien et l’amélioration du cadre de vie </w:t>
      </w:r>
      <w:r w:rsidR="00524C3B">
        <w:t xml:space="preserve">                    </w:t>
      </w:r>
      <w:r>
        <w:t>de vos enfants dépendent donc essentiellement des contributions que nous percevons.</w:t>
      </w:r>
    </w:p>
    <w:p w:rsidR="008E7E83" w:rsidRPr="00CC0BD0" w:rsidRDefault="008E7E8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8E7E83" w:rsidRDefault="008E7E83" w:rsidP="00524C3B">
      <w:pPr>
        <w:spacing w:after="0" w:line="240" w:lineRule="auto"/>
        <w:ind w:left="936" w:right="567"/>
        <w:jc w:val="both"/>
      </w:pPr>
      <w:r>
        <w:t xml:space="preserve">La contribution familiale inclut la scolarité proprement </w:t>
      </w:r>
      <w:r w:rsidR="007A0333">
        <w:t>dite</w:t>
      </w:r>
      <w:r>
        <w:t>, l’externat surveillé (prise en charge</w:t>
      </w:r>
      <w:r w:rsidR="007A0333">
        <w:t xml:space="preserve">  </w:t>
      </w:r>
      <w:r w:rsidR="00524C3B">
        <w:t xml:space="preserve">   </w:t>
      </w:r>
      <w:r>
        <w:t>des élèves en dehors des cours), et les frais généraux. Seule la scolarité peut éventuellement faire l’objet d’une remise.</w:t>
      </w:r>
    </w:p>
    <w:p w:rsidR="008E7E83" w:rsidRPr="00CC0BD0" w:rsidRDefault="008E7E8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7A0333" w:rsidRPr="00CC0BD0" w:rsidRDefault="007A033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8E7E83" w:rsidRPr="00524C3B" w:rsidRDefault="008E7E83" w:rsidP="00524C3B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 w:rsidRPr="00524C3B">
        <w:rPr>
          <w:b/>
          <w:sz w:val="24"/>
          <w:szCs w:val="24"/>
        </w:rPr>
        <w:t xml:space="preserve">2 – </w:t>
      </w:r>
      <w:r w:rsidRPr="00524C3B">
        <w:rPr>
          <w:b/>
          <w:sz w:val="24"/>
          <w:szCs w:val="24"/>
          <w:u w:val="single"/>
        </w:rPr>
        <w:t>DEMI-PENSION</w:t>
      </w:r>
    </w:p>
    <w:p w:rsidR="008E7E83" w:rsidRPr="00CC0BD0" w:rsidRDefault="008E7E8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8E7E83" w:rsidRDefault="008E7E83" w:rsidP="00524C3B">
      <w:pPr>
        <w:spacing w:after="0" w:line="240" w:lineRule="auto"/>
        <w:ind w:left="936" w:right="567"/>
        <w:jc w:val="both"/>
      </w:pPr>
      <w:r>
        <w:t xml:space="preserve">Le tarif de la demi-pension est forfaitaire, quel que soit le nombre de repas. Il comprend le repas </w:t>
      </w:r>
      <w:r w:rsidR="00524C3B">
        <w:t xml:space="preserve">   </w:t>
      </w:r>
      <w:r>
        <w:t>du midi, ainsi que le coût de la surveillance des élèves.</w:t>
      </w:r>
    </w:p>
    <w:p w:rsidR="008E7E83" w:rsidRPr="00CC0BD0" w:rsidRDefault="008E7E8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6133D4" w:rsidRPr="00CC0BD0" w:rsidRDefault="006133D4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6133D4" w:rsidRPr="00524C3B" w:rsidRDefault="006133D4" w:rsidP="006133D4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24C3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FRAIS ANNEXES</w:t>
      </w:r>
    </w:p>
    <w:p w:rsidR="006133D4" w:rsidRPr="00CC0BD0" w:rsidRDefault="006133D4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8E7E83" w:rsidRPr="00524C3B" w:rsidRDefault="006133D4" w:rsidP="006133D4">
      <w:pPr>
        <w:spacing w:after="0" w:line="240" w:lineRule="auto"/>
        <w:ind w:left="936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E7E83" w:rsidRPr="00524C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8E7E83" w:rsidRPr="00524C3B">
        <w:rPr>
          <w:b/>
          <w:sz w:val="24"/>
          <w:szCs w:val="24"/>
        </w:rPr>
        <w:t xml:space="preserve"> </w:t>
      </w:r>
      <w:r w:rsidR="008E7E83" w:rsidRPr="00524C3B">
        <w:rPr>
          <w:b/>
          <w:sz w:val="24"/>
          <w:szCs w:val="24"/>
          <w:u w:val="single"/>
        </w:rPr>
        <w:t>COTISATIONS</w:t>
      </w:r>
    </w:p>
    <w:p w:rsidR="008E7E83" w:rsidRPr="00CC0BD0" w:rsidRDefault="008E7E8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8E7E83" w:rsidRDefault="008E7E83" w:rsidP="00524C3B">
      <w:pPr>
        <w:spacing w:after="0" w:line="240" w:lineRule="auto"/>
        <w:ind w:left="936" w:right="567"/>
        <w:jc w:val="both"/>
      </w:pPr>
      <w:r>
        <w:t xml:space="preserve">Ces sommes sont collectées et reversées à des organismes extérieurs : services départementaux </w:t>
      </w:r>
      <w:r w:rsidR="00524C3B">
        <w:t xml:space="preserve">    </w:t>
      </w:r>
      <w:r>
        <w:t>de l’Enseignement Catholique, assurance scolaire (</w:t>
      </w:r>
      <w:r w:rsidRPr="006133D4">
        <w:rPr>
          <w:b/>
          <w:u w:val="single"/>
        </w:rPr>
        <w:t>obligatoire pour tous</w:t>
      </w:r>
      <w:r>
        <w:t>), U.G.S.E.L. (Association Sportive</w:t>
      </w:r>
      <w:r w:rsidR="00A36D47">
        <w:t>)</w:t>
      </w:r>
      <w:r w:rsidR="00C354FB">
        <w:t>, A.P.E.L. (par famille)</w:t>
      </w:r>
      <w:r w:rsidR="00A36D47">
        <w:t>…</w:t>
      </w:r>
    </w:p>
    <w:p w:rsidR="007A0333" w:rsidRPr="00CC0BD0" w:rsidRDefault="007A033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A36D47" w:rsidRPr="00524C3B" w:rsidRDefault="006133D4" w:rsidP="006133D4">
      <w:pPr>
        <w:spacing w:after="0" w:line="240" w:lineRule="auto"/>
        <w:ind w:left="936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36D47" w:rsidRPr="00524C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A36D47" w:rsidRPr="00524C3B">
        <w:rPr>
          <w:b/>
          <w:sz w:val="24"/>
          <w:szCs w:val="24"/>
        </w:rPr>
        <w:t xml:space="preserve"> </w:t>
      </w:r>
      <w:r w:rsidR="00A36D47" w:rsidRPr="00524C3B">
        <w:rPr>
          <w:b/>
          <w:sz w:val="24"/>
          <w:szCs w:val="24"/>
          <w:u w:val="single"/>
        </w:rPr>
        <w:t xml:space="preserve">FRAIS </w:t>
      </w:r>
      <w:r w:rsidR="00A93BE3">
        <w:rPr>
          <w:b/>
          <w:sz w:val="24"/>
          <w:szCs w:val="24"/>
          <w:u w:val="single"/>
        </w:rPr>
        <w:t>GENERAUX</w:t>
      </w:r>
    </w:p>
    <w:p w:rsidR="00A36D47" w:rsidRPr="00CC0BD0" w:rsidRDefault="00A36D47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A36D47" w:rsidRDefault="00A36D47" w:rsidP="00524C3B">
      <w:pPr>
        <w:pStyle w:val="Paragraphedeliste"/>
        <w:numPr>
          <w:ilvl w:val="0"/>
          <w:numId w:val="1"/>
        </w:numPr>
        <w:spacing w:after="0" w:line="240" w:lineRule="auto"/>
        <w:ind w:left="1293" w:right="567" w:hanging="357"/>
        <w:jc w:val="both"/>
      </w:pPr>
      <w:r>
        <w:t>Fournitures scolaires et frais d’examens de 17 € à 67 €.</w:t>
      </w:r>
    </w:p>
    <w:p w:rsidR="00A36D47" w:rsidRDefault="00A36D47" w:rsidP="00524C3B">
      <w:pPr>
        <w:pStyle w:val="Paragraphedeliste"/>
        <w:numPr>
          <w:ilvl w:val="0"/>
          <w:numId w:val="1"/>
        </w:numPr>
        <w:spacing w:after="0" w:line="240" w:lineRule="auto"/>
        <w:ind w:left="1293" w:right="567" w:hanging="357"/>
        <w:jc w:val="both"/>
      </w:pPr>
      <w:r>
        <w:t>Mise à disposition d’un casier : 23 €.</w:t>
      </w:r>
    </w:p>
    <w:p w:rsidR="00A36D47" w:rsidRDefault="00A36D47" w:rsidP="00524C3B">
      <w:pPr>
        <w:pStyle w:val="Paragraphedeliste"/>
        <w:numPr>
          <w:ilvl w:val="0"/>
          <w:numId w:val="1"/>
        </w:numPr>
        <w:spacing w:after="0" w:line="240" w:lineRule="auto"/>
        <w:ind w:left="1293" w:right="567" w:hanging="357"/>
        <w:jc w:val="both"/>
      </w:pPr>
      <w:r>
        <w:t>Le cas échéant, frais bancaires inhérents aux incidents de paiement (chèque ou prélèvement rejeté).</w:t>
      </w:r>
    </w:p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7A0333" w:rsidRPr="00CC0BD0" w:rsidRDefault="007A033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Pr="00524C3B" w:rsidRDefault="006133D4" w:rsidP="00524C3B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B402A" w:rsidRPr="00524C3B">
        <w:rPr>
          <w:b/>
          <w:sz w:val="24"/>
          <w:szCs w:val="24"/>
        </w:rPr>
        <w:t xml:space="preserve"> – </w:t>
      </w:r>
      <w:r w:rsidR="00CB402A" w:rsidRPr="00524C3B">
        <w:rPr>
          <w:b/>
          <w:sz w:val="24"/>
          <w:szCs w:val="24"/>
          <w:u w:val="single"/>
        </w:rPr>
        <w:t>REDUCTION POUR ABSENCE</w:t>
      </w:r>
    </w:p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Default="00CB402A" w:rsidP="00524C3B">
      <w:pPr>
        <w:spacing w:after="0" w:line="240" w:lineRule="auto"/>
        <w:ind w:left="936" w:right="567"/>
        <w:jc w:val="both"/>
      </w:pPr>
      <w:r>
        <w:t xml:space="preserve">Une réduction sur demi-pension est accordée dans le cas suivant : absence d’au moins </w:t>
      </w:r>
      <w:r w:rsidR="00524C3B">
        <w:t xml:space="preserve">                 </w:t>
      </w:r>
      <w:r>
        <w:t>deux semaines consécutives pour maladie.</w:t>
      </w:r>
    </w:p>
    <w:p w:rsidR="00CC0BD0" w:rsidRPr="00CC0BD0" w:rsidRDefault="00CC0BD0" w:rsidP="00CC0BD0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C0BD0" w:rsidRPr="00CC0BD0" w:rsidRDefault="00CC0BD0" w:rsidP="00CC0BD0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Pr="00524C3B" w:rsidRDefault="006133D4" w:rsidP="00524C3B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B402A" w:rsidRPr="00524C3B">
        <w:rPr>
          <w:b/>
          <w:sz w:val="24"/>
          <w:szCs w:val="24"/>
        </w:rPr>
        <w:t xml:space="preserve"> – </w:t>
      </w:r>
      <w:r w:rsidR="00CB402A" w:rsidRPr="00524C3B">
        <w:rPr>
          <w:b/>
          <w:sz w:val="24"/>
          <w:szCs w:val="24"/>
          <w:u w:val="single"/>
        </w:rPr>
        <w:t>BOURSE NATIONALE</w:t>
      </w:r>
    </w:p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Default="00223368" w:rsidP="00524C3B">
      <w:pPr>
        <w:spacing w:after="0" w:line="240" w:lineRule="auto"/>
        <w:ind w:left="936" w:right="567"/>
        <w:jc w:val="both"/>
      </w:pPr>
      <w:r>
        <w:t xml:space="preserve">Les dossiers pourront être retirés à l’accueil le jour de la rentrée, et devront </w:t>
      </w:r>
      <w:r w:rsidRPr="00223368">
        <w:rPr>
          <w:b/>
          <w:u w:val="single"/>
        </w:rPr>
        <w:t>impérativement</w:t>
      </w:r>
      <w:r>
        <w:t xml:space="preserve">        être rendus </w:t>
      </w:r>
      <w:r w:rsidRPr="00223368">
        <w:rPr>
          <w:b/>
        </w:rPr>
        <w:t xml:space="preserve">pour le 30 septembre </w:t>
      </w:r>
      <w:r w:rsidR="006F2830">
        <w:rPr>
          <w:b/>
        </w:rPr>
        <w:t>2016</w:t>
      </w:r>
      <w:r w:rsidR="00CB402A">
        <w:t>.</w:t>
      </w:r>
    </w:p>
    <w:p w:rsidR="00CC0BD0" w:rsidRDefault="00CC0BD0" w:rsidP="00CC0BD0">
      <w:pPr>
        <w:spacing w:after="0" w:line="240" w:lineRule="auto"/>
        <w:ind w:left="567" w:right="567"/>
        <w:jc w:val="right"/>
      </w:pPr>
      <w:r>
        <w:t>…/…</w:t>
      </w:r>
    </w:p>
    <w:p w:rsidR="00CB402A" w:rsidRPr="00524C3B" w:rsidRDefault="006133D4" w:rsidP="00524C3B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B402A" w:rsidRPr="00524C3B">
        <w:rPr>
          <w:b/>
          <w:sz w:val="24"/>
          <w:szCs w:val="24"/>
        </w:rPr>
        <w:t xml:space="preserve"> – </w:t>
      </w:r>
      <w:r w:rsidR="00CB402A" w:rsidRPr="00524C3B">
        <w:rPr>
          <w:b/>
          <w:sz w:val="24"/>
          <w:szCs w:val="24"/>
          <w:u w:val="single"/>
        </w:rPr>
        <w:t>MODE DE REGLEMENT</w:t>
      </w:r>
    </w:p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Default="00CB402A" w:rsidP="00524C3B">
      <w:pPr>
        <w:spacing w:after="0" w:line="240" w:lineRule="auto"/>
        <w:ind w:left="936" w:right="567"/>
        <w:jc w:val="both"/>
      </w:pPr>
      <w:r>
        <w:t xml:space="preserve">Une facture annuelle est établie pour chaque famille en septembre. Le total de cette facture </w:t>
      </w:r>
      <w:r w:rsidR="00524C3B">
        <w:t xml:space="preserve">          </w:t>
      </w:r>
      <w:r>
        <w:t xml:space="preserve">est à régler en dix mensualités au début de chaque mois (chèque bancaire ou postal, espèces </w:t>
      </w:r>
      <w:r w:rsidR="00524C3B">
        <w:t xml:space="preserve">          </w:t>
      </w:r>
      <w:r>
        <w:t>ou prélèvement automatique).</w:t>
      </w:r>
    </w:p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Default="00CB402A" w:rsidP="007A0333">
      <w:pPr>
        <w:spacing w:after="0" w:line="240" w:lineRule="auto"/>
        <w:ind w:left="936" w:right="567"/>
        <w:jc w:val="center"/>
      </w:pPr>
      <w:r w:rsidRPr="007A0333">
        <w:rPr>
          <w:b/>
          <w:i/>
          <w:sz w:val="24"/>
          <w:szCs w:val="24"/>
          <w:bdr w:val="single" w:sz="6" w:space="0" w:color="auto"/>
        </w:rPr>
        <w:t>Nous demandons à tous ceux qui le peuvent d’opter pour le prélèvement automatique</w:t>
      </w:r>
      <w:r w:rsidRPr="007A0333">
        <w:rPr>
          <w:bdr w:val="single" w:sz="6" w:space="0" w:color="auto"/>
        </w:rPr>
        <w:t>.</w:t>
      </w:r>
    </w:p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Default="00CB402A" w:rsidP="00524C3B">
      <w:pPr>
        <w:spacing w:after="0" w:line="240" w:lineRule="auto"/>
        <w:ind w:left="936" w:right="567"/>
        <w:jc w:val="both"/>
      </w:pPr>
      <w:r>
        <w:t xml:space="preserve">Une facture de régularisation est établie début juillet. C’est à ce moment que sont pris </w:t>
      </w:r>
      <w:r w:rsidR="007A0333">
        <w:t xml:space="preserve">                      </w:t>
      </w:r>
      <w:r>
        <w:t xml:space="preserve">en considération les éléments imprévisibles en début d’année (réduction pour absences, </w:t>
      </w:r>
      <w:r w:rsidR="007A0333">
        <w:t xml:space="preserve">   </w:t>
      </w:r>
      <w:r>
        <w:t>Profession de Foi, repas exceptionnels…).</w:t>
      </w:r>
    </w:p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Pr="007A0333" w:rsidRDefault="00CB402A" w:rsidP="007A03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936" w:right="567"/>
        <w:jc w:val="both"/>
        <w:rPr>
          <w:i/>
        </w:rPr>
      </w:pPr>
      <w:r w:rsidRPr="007A0333">
        <w:rPr>
          <w:i/>
        </w:rPr>
        <w:t>Les familles qui, pour des raisons diverses, auraient des difficultés à honorer leurs mensualités, pourront faire une demande d’aide financière à la rentrée. Une note donnant toutes les précisions utiles pour obtenir une aide (bourse nationale</w:t>
      </w:r>
      <w:r w:rsidR="006133D4">
        <w:rPr>
          <w:i/>
        </w:rPr>
        <w:t>…</w:t>
      </w:r>
      <w:r w:rsidRPr="007A0333">
        <w:rPr>
          <w:i/>
        </w:rPr>
        <w:t>) est jointe à la facture annuelle établie en septembre.</w:t>
      </w:r>
    </w:p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7A0333" w:rsidRPr="00CC0BD0" w:rsidRDefault="007A0333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B402A" w:rsidRDefault="00CB402A" w:rsidP="007A0333">
      <w:pPr>
        <w:spacing w:after="0" w:line="240" w:lineRule="auto"/>
        <w:ind w:left="936" w:right="567"/>
        <w:jc w:val="center"/>
        <w:rPr>
          <w:b/>
          <w:sz w:val="24"/>
          <w:szCs w:val="24"/>
        </w:rPr>
      </w:pPr>
      <w:r w:rsidRPr="007A0333">
        <w:rPr>
          <w:b/>
          <w:sz w:val="24"/>
          <w:szCs w:val="24"/>
          <w:u w:val="single"/>
        </w:rPr>
        <w:t>TARIFS ANNUELS</w:t>
      </w:r>
      <w:r w:rsidRPr="007A0333">
        <w:rPr>
          <w:b/>
          <w:sz w:val="24"/>
          <w:szCs w:val="24"/>
        </w:rPr>
        <w:t xml:space="preserve"> (sur 10 mois hors options et réductions)</w:t>
      </w:r>
    </w:p>
    <w:p w:rsidR="00FC7C39" w:rsidRPr="00FC7C39" w:rsidRDefault="00FC7C39" w:rsidP="007A0333">
      <w:pPr>
        <w:spacing w:after="0" w:line="240" w:lineRule="auto"/>
        <w:ind w:left="936" w:right="567"/>
        <w:jc w:val="center"/>
        <w:rPr>
          <w:b/>
        </w:rPr>
      </w:pPr>
      <w:r w:rsidRPr="00FC7C39">
        <w:rPr>
          <w:b/>
        </w:rPr>
        <w:t>TOUT MOIS COMMENCE EST DÛ.</w:t>
      </w:r>
    </w:p>
    <w:p w:rsidR="00CB402A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CC0BD0" w:rsidRPr="00CC0BD0" w:rsidRDefault="00CC0BD0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2268"/>
      </w:tblGrid>
      <w:tr w:rsidR="007F2199" w:rsidRPr="00CC0BD0" w:rsidTr="009202C9">
        <w:trPr>
          <w:jc w:val="center"/>
        </w:trPr>
        <w:tc>
          <w:tcPr>
            <w:tcW w:w="3118" w:type="dxa"/>
            <w:shd w:val="clear" w:color="auto" w:fill="D9D9D9" w:themeFill="background1" w:themeFillShade="D9"/>
          </w:tcPr>
          <w:p w:rsidR="007F2199" w:rsidRPr="00CC0BD0" w:rsidRDefault="007F2199" w:rsidP="00344CF2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>Régime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2199" w:rsidRPr="00CC0BD0" w:rsidRDefault="007F2199" w:rsidP="00344CF2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>Externe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2199" w:rsidRPr="00CC0BD0" w:rsidRDefault="007F2199" w:rsidP="00344CF2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>Demi-Pensionnaire</w:t>
            </w:r>
          </w:p>
        </w:tc>
      </w:tr>
      <w:tr w:rsidR="007F2199" w:rsidRPr="00CC0BD0" w:rsidTr="009202C9">
        <w:trPr>
          <w:jc w:val="center"/>
        </w:trPr>
        <w:tc>
          <w:tcPr>
            <w:tcW w:w="3118" w:type="dxa"/>
          </w:tcPr>
          <w:p w:rsidR="007F2199" w:rsidRPr="00CC0BD0" w:rsidRDefault="007A0333" w:rsidP="00344CF2">
            <w:pPr>
              <w:spacing w:before="140" w:after="140"/>
              <w:ind w:left="57" w:right="57"/>
              <w:jc w:val="both"/>
              <w:rPr>
                <w:b/>
              </w:rPr>
            </w:pPr>
            <w:r w:rsidRPr="00CC0BD0">
              <w:rPr>
                <w:b/>
              </w:rPr>
              <w:t xml:space="preserve">• </w:t>
            </w:r>
            <w:r w:rsidR="007F2199" w:rsidRPr="00CC0BD0">
              <w:rPr>
                <w:b/>
              </w:rPr>
              <w:t>Contribution familiale</w:t>
            </w:r>
          </w:p>
        </w:tc>
        <w:tc>
          <w:tcPr>
            <w:tcW w:w="2268" w:type="dxa"/>
          </w:tcPr>
          <w:p w:rsidR="007F2199" w:rsidRPr="00CC0BD0" w:rsidRDefault="006133D4" w:rsidP="00DF733F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>4</w:t>
            </w:r>
            <w:r w:rsidR="00DF733F">
              <w:rPr>
                <w:b/>
              </w:rPr>
              <w:t>2</w:t>
            </w:r>
            <w:r w:rsidRPr="00CC0BD0">
              <w:rPr>
                <w:b/>
              </w:rPr>
              <w:t>0</w:t>
            </w:r>
            <w:r w:rsidR="007F2199" w:rsidRPr="00CC0BD0">
              <w:rPr>
                <w:b/>
              </w:rPr>
              <w:t xml:space="preserve"> €</w:t>
            </w:r>
          </w:p>
        </w:tc>
        <w:tc>
          <w:tcPr>
            <w:tcW w:w="2268" w:type="dxa"/>
          </w:tcPr>
          <w:p w:rsidR="007F2199" w:rsidRPr="00CC0BD0" w:rsidRDefault="006133D4" w:rsidP="00DF733F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>4</w:t>
            </w:r>
            <w:r w:rsidR="00DF733F">
              <w:rPr>
                <w:b/>
              </w:rPr>
              <w:t>2</w:t>
            </w:r>
            <w:r w:rsidRPr="00CC0BD0">
              <w:rPr>
                <w:b/>
              </w:rPr>
              <w:t>0</w:t>
            </w:r>
            <w:r w:rsidR="007F2199" w:rsidRPr="00CC0BD0">
              <w:rPr>
                <w:b/>
              </w:rPr>
              <w:t xml:space="preserve"> €</w:t>
            </w:r>
          </w:p>
        </w:tc>
      </w:tr>
      <w:tr w:rsidR="007F2199" w:rsidRPr="00CC0BD0" w:rsidTr="009202C9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:rsidR="007F2199" w:rsidRPr="00CC0BD0" w:rsidRDefault="007A0333" w:rsidP="00344CF2">
            <w:pPr>
              <w:spacing w:before="140" w:after="140"/>
              <w:ind w:left="57" w:right="57"/>
              <w:jc w:val="both"/>
              <w:rPr>
                <w:b/>
              </w:rPr>
            </w:pPr>
            <w:r w:rsidRPr="00CC0BD0">
              <w:rPr>
                <w:b/>
              </w:rPr>
              <w:t xml:space="preserve">• </w:t>
            </w:r>
            <w:r w:rsidR="007F2199" w:rsidRPr="00CC0BD0">
              <w:rPr>
                <w:b/>
              </w:rPr>
              <w:t>Demi-pension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2199" w:rsidRPr="00CC0BD0" w:rsidRDefault="007F2199" w:rsidP="00344CF2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2199" w:rsidRPr="00CC0BD0" w:rsidRDefault="006133D4" w:rsidP="00DF733F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>7</w:t>
            </w:r>
            <w:r w:rsidR="00DF733F">
              <w:rPr>
                <w:b/>
              </w:rPr>
              <w:t>20</w:t>
            </w:r>
            <w:r w:rsidR="007F2199" w:rsidRPr="00CC0BD0">
              <w:rPr>
                <w:b/>
              </w:rPr>
              <w:t xml:space="preserve"> €</w:t>
            </w:r>
          </w:p>
        </w:tc>
      </w:tr>
      <w:tr w:rsidR="007F2199" w:rsidRPr="00CC0BD0" w:rsidTr="009202C9">
        <w:trPr>
          <w:jc w:val="center"/>
        </w:trPr>
        <w:tc>
          <w:tcPr>
            <w:tcW w:w="3118" w:type="dxa"/>
          </w:tcPr>
          <w:p w:rsidR="009202C9" w:rsidRPr="00CC0BD0" w:rsidRDefault="007A0333" w:rsidP="00344CF2">
            <w:pPr>
              <w:spacing w:before="10"/>
              <w:ind w:left="57" w:right="57"/>
              <w:rPr>
                <w:b/>
              </w:rPr>
            </w:pPr>
            <w:r w:rsidRPr="00CC0BD0">
              <w:rPr>
                <w:b/>
              </w:rPr>
              <w:t xml:space="preserve">• </w:t>
            </w:r>
            <w:r w:rsidR="007F2199" w:rsidRPr="00CC0BD0">
              <w:rPr>
                <w:b/>
              </w:rPr>
              <w:t>Frais annexes</w:t>
            </w:r>
          </w:p>
          <w:p w:rsidR="007F2199" w:rsidRPr="00CC0BD0" w:rsidRDefault="009202C9" w:rsidP="00344CF2">
            <w:pPr>
              <w:spacing w:after="10"/>
              <w:ind w:left="227" w:right="57"/>
              <w:rPr>
                <w:b/>
                <w:sz w:val="21"/>
                <w:szCs w:val="21"/>
              </w:rPr>
            </w:pPr>
            <w:r w:rsidRPr="00CC0BD0">
              <w:rPr>
                <w:b/>
                <w:sz w:val="21"/>
                <w:szCs w:val="21"/>
              </w:rPr>
              <w:t>(cotisations et frais généraux)</w:t>
            </w:r>
          </w:p>
        </w:tc>
        <w:tc>
          <w:tcPr>
            <w:tcW w:w="2268" w:type="dxa"/>
          </w:tcPr>
          <w:p w:rsidR="007F2199" w:rsidRPr="00CC0BD0" w:rsidRDefault="007F2199" w:rsidP="00DF733F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 xml:space="preserve">de </w:t>
            </w:r>
            <w:r w:rsidR="00DF733F">
              <w:rPr>
                <w:b/>
              </w:rPr>
              <w:t>162</w:t>
            </w:r>
            <w:r w:rsidRPr="00CC0BD0">
              <w:rPr>
                <w:b/>
              </w:rPr>
              <w:t xml:space="preserve"> € à </w:t>
            </w:r>
            <w:r w:rsidR="00DF733F">
              <w:rPr>
                <w:b/>
              </w:rPr>
              <w:t>213</w:t>
            </w:r>
            <w:r w:rsidRPr="00CC0BD0">
              <w:rPr>
                <w:b/>
              </w:rPr>
              <w:t xml:space="preserve"> €</w:t>
            </w:r>
          </w:p>
        </w:tc>
        <w:tc>
          <w:tcPr>
            <w:tcW w:w="2268" w:type="dxa"/>
          </w:tcPr>
          <w:p w:rsidR="007F2199" w:rsidRPr="00CC0BD0" w:rsidRDefault="007F2199" w:rsidP="00DF733F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 xml:space="preserve">de </w:t>
            </w:r>
            <w:r w:rsidR="00DF733F">
              <w:rPr>
                <w:b/>
              </w:rPr>
              <w:t>162</w:t>
            </w:r>
            <w:r w:rsidRPr="00CC0BD0">
              <w:rPr>
                <w:b/>
              </w:rPr>
              <w:t xml:space="preserve"> € à </w:t>
            </w:r>
            <w:r w:rsidR="00DF733F">
              <w:rPr>
                <w:b/>
              </w:rPr>
              <w:t>213</w:t>
            </w:r>
            <w:r w:rsidRPr="00CC0BD0">
              <w:rPr>
                <w:b/>
              </w:rPr>
              <w:t xml:space="preserve"> €</w:t>
            </w:r>
          </w:p>
        </w:tc>
      </w:tr>
      <w:tr w:rsidR="00A93BE3" w:rsidRPr="00CC0BD0" w:rsidTr="009202C9">
        <w:trPr>
          <w:jc w:val="center"/>
        </w:trPr>
        <w:tc>
          <w:tcPr>
            <w:tcW w:w="3118" w:type="dxa"/>
            <w:shd w:val="clear" w:color="auto" w:fill="D9D9D9" w:themeFill="background1" w:themeFillShade="D9"/>
          </w:tcPr>
          <w:p w:rsidR="00A93BE3" w:rsidRPr="00CC0BD0" w:rsidRDefault="00A93BE3" w:rsidP="00344CF2">
            <w:pPr>
              <w:spacing w:before="140" w:after="140"/>
              <w:ind w:left="227" w:right="57"/>
              <w:jc w:val="both"/>
              <w:rPr>
                <w:b/>
              </w:rPr>
            </w:pPr>
            <w:r w:rsidRPr="00CC0BD0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3BE3" w:rsidRPr="00CC0BD0" w:rsidRDefault="00A93BE3" w:rsidP="00DF733F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 xml:space="preserve">de </w:t>
            </w:r>
            <w:r w:rsidR="00DF733F">
              <w:rPr>
                <w:b/>
              </w:rPr>
              <w:t>582</w:t>
            </w:r>
            <w:r w:rsidR="001331A8">
              <w:rPr>
                <w:b/>
              </w:rPr>
              <w:t xml:space="preserve"> €</w:t>
            </w:r>
            <w:r w:rsidRPr="00CC0BD0">
              <w:rPr>
                <w:b/>
              </w:rPr>
              <w:t xml:space="preserve"> à </w:t>
            </w:r>
            <w:r w:rsidR="00DF733F">
              <w:rPr>
                <w:b/>
              </w:rPr>
              <w:t>633</w:t>
            </w:r>
            <w:r w:rsidRPr="00CC0BD0">
              <w:rPr>
                <w:b/>
              </w:rPr>
              <w:t xml:space="preserve"> €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3BE3" w:rsidRPr="00CC0BD0" w:rsidRDefault="00A93BE3" w:rsidP="00DF733F">
            <w:pPr>
              <w:spacing w:before="140" w:after="140"/>
              <w:ind w:left="57" w:right="57"/>
              <w:jc w:val="center"/>
              <w:rPr>
                <w:b/>
              </w:rPr>
            </w:pPr>
            <w:r w:rsidRPr="00CC0BD0">
              <w:rPr>
                <w:b/>
              </w:rPr>
              <w:t>de 1</w:t>
            </w:r>
            <w:r w:rsidR="001331A8">
              <w:rPr>
                <w:b/>
              </w:rPr>
              <w:t> </w:t>
            </w:r>
            <w:r w:rsidR="00DF733F">
              <w:rPr>
                <w:b/>
              </w:rPr>
              <w:t>302</w:t>
            </w:r>
            <w:r w:rsidR="001331A8">
              <w:rPr>
                <w:b/>
              </w:rPr>
              <w:t xml:space="preserve"> €</w:t>
            </w:r>
            <w:r w:rsidRPr="00CC0BD0">
              <w:rPr>
                <w:b/>
              </w:rPr>
              <w:t xml:space="preserve"> à 1 </w:t>
            </w:r>
            <w:r w:rsidR="00DF733F">
              <w:rPr>
                <w:b/>
              </w:rPr>
              <w:t>353</w:t>
            </w:r>
            <w:r w:rsidRPr="00CC0BD0">
              <w:rPr>
                <w:b/>
              </w:rPr>
              <w:t xml:space="preserve"> €</w:t>
            </w:r>
          </w:p>
        </w:tc>
      </w:tr>
    </w:tbl>
    <w:p w:rsidR="00CB402A" w:rsidRPr="00CC0BD0" w:rsidRDefault="00CB402A" w:rsidP="00524C3B">
      <w:pPr>
        <w:spacing w:after="0" w:line="240" w:lineRule="auto"/>
        <w:ind w:left="567" w:right="567"/>
        <w:jc w:val="both"/>
        <w:rPr>
          <w:sz w:val="18"/>
          <w:szCs w:val="18"/>
        </w:rPr>
      </w:pPr>
    </w:p>
    <w:p w:rsidR="008E7E83" w:rsidRPr="007A0333" w:rsidRDefault="007F2199" w:rsidP="007A0333">
      <w:pPr>
        <w:spacing w:after="0" w:line="240" w:lineRule="auto"/>
        <w:ind w:left="936" w:right="567"/>
        <w:jc w:val="center"/>
        <w:rPr>
          <w:i/>
        </w:rPr>
      </w:pPr>
      <w:r w:rsidRPr="007A0333">
        <w:rPr>
          <w:i/>
        </w:rPr>
        <w:t>Remise scolarité : 10 % pour deux enfants, 15 % pour trois enfants…</w:t>
      </w:r>
    </w:p>
    <w:p w:rsidR="008E7E83" w:rsidRPr="00CC0BD0" w:rsidRDefault="008E7E83" w:rsidP="008E7E83">
      <w:pPr>
        <w:spacing w:after="0" w:line="240" w:lineRule="auto"/>
        <w:jc w:val="both"/>
        <w:rPr>
          <w:sz w:val="18"/>
          <w:szCs w:val="18"/>
        </w:rPr>
      </w:pPr>
    </w:p>
    <w:p w:rsidR="008E7E83" w:rsidRPr="00CC0BD0" w:rsidRDefault="008E7E83" w:rsidP="008E7E83">
      <w:pPr>
        <w:spacing w:after="0" w:line="240" w:lineRule="auto"/>
        <w:jc w:val="both"/>
        <w:rPr>
          <w:sz w:val="18"/>
          <w:szCs w:val="18"/>
        </w:rPr>
      </w:pPr>
    </w:p>
    <w:p w:rsidR="006133D4" w:rsidRPr="007A0333" w:rsidRDefault="006133D4" w:rsidP="006133D4">
      <w:pPr>
        <w:spacing w:after="0" w:line="240" w:lineRule="auto"/>
        <w:ind w:left="936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DETAIL DES PRELEVEMENTS</w:t>
      </w:r>
    </w:p>
    <w:p w:rsidR="007A0333" w:rsidRDefault="007A0333" w:rsidP="008E7E83">
      <w:pPr>
        <w:spacing w:after="0" w:line="240" w:lineRule="auto"/>
        <w:jc w:val="both"/>
        <w:rPr>
          <w:sz w:val="18"/>
          <w:szCs w:val="18"/>
        </w:rPr>
      </w:pPr>
    </w:p>
    <w:p w:rsidR="00CC0BD0" w:rsidRPr="00CC0BD0" w:rsidRDefault="00CC0BD0" w:rsidP="008E7E83">
      <w:pPr>
        <w:spacing w:after="0" w:line="240" w:lineRule="auto"/>
        <w:jc w:val="both"/>
        <w:rPr>
          <w:sz w:val="18"/>
          <w:szCs w:val="18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133D4" w:rsidRPr="00CC0BD0" w:rsidTr="00344CF2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pStyle w:val="Titre2"/>
              <w:spacing w:before="220" w:after="2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0BD0">
              <w:rPr>
                <w:rFonts w:ascii="Calibri" w:hAnsi="Calibri" w:cstheme="minorBidi"/>
                <w:color w:val="auto"/>
                <w:sz w:val="22"/>
                <w:szCs w:val="22"/>
              </w:rPr>
              <w:t>Dates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Pour un externe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Pour un demi-pensionnaire</w:t>
            </w:r>
          </w:p>
        </w:tc>
      </w:tr>
      <w:tr w:rsidR="006133D4" w:rsidRPr="00CC0BD0" w:rsidTr="00344CF2">
        <w:trPr>
          <w:cantSplit/>
          <w:jc w:val="center"/>
        </w:trPr>
        <w:tc>
          <w:tcPr>
            <w:tcW w:w="2155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6</w:t>
            </w:r>
            <w:r w:rsidRPr="00CC0BD0">
              <w:rPr>
                <w:rFonts w:ascii="Calibri" w:hAnsi="Calibri"/>
                <w:b/>
                <w:bCs/>
                <w:vertAlign w:val="superscript"/>
              </w:rPr>
              <w:t>ème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5</w:t>
            </w:r>
            <w:r w:rsidRPr="00CC0BD0">
              <w:rPr>
                <w:rFonts w:ascii="Calibri" w:hAnsi="Calibri"/>
                <w:b/>
                <w:bCs/>
                <w:vertAlign w:val="superscript"/>
              </w:rPr>
              <w:t>ème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4</w:t>
            </w:r>
            <w:r w:rsidRPr="00CC0BD0">
              <w:rPr>
                <w:rFonts w:ascii="Calibri" w:hAnsi="Calibri"/>
                <w:b/>
                <w:bCs/>
                <w:vertAlign w:val="superscript"/>
              </w:rPr>
              <w:t>ème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3</w:t>
            </w:r>
            <w:r w:rsidRPr="00CC0BD0">
              <w:rPr>
                <w:rFonts w:ascii="Calibri" w:hAnsi="Calibri"/>
                <w:b/>
                <w:bCs/>
                <w:vertAlign w:val="superscript"/>
              </w:rPr>
              <w:t>ème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6</w:t>
            </w:r>
            <w:r w:rsidRPr="00CC0BD0">
              <w:rPr>
                <w:rFonts w:ascii="Calibri" w:hAnsi="Calibri"/>
                <w:b/>
                <w:bCs/>
                <w:vertAlign w:val="superscript"/>
              </w:rPr>
              <w:t>ème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5</w:t>
            </w:r>
            <w:r w:rsidRPr="00CC0BD0">
              <w:rPr>
                <w:rFonts w:ascii="Calibri" w:hAnsi="Calibri"/>
                <w:b/>
                <w:bCs/>
                <w:vertAlign w:val="superscript"/>
              </w:rPr>
              <w:t>ème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4</w:t>
            </w:r>
            <w:r w:rsidRPr="00CC0BD0">
              <w:rPr>
                <w:rFonts w:ascii="Calibri" w:hAnsi="Calibri"/>
                <w:b/>
                <w:bCs/>
                <w:vertAlign w:val="superscript"/>
              </w:rPr>
              <w:t>ème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</w:tcPr>
          <w:p w:rsidR="006133D4" w:rsidRPr="00CC0BD0" w:rsidRDefault="006133D4" w:rsidP="00344CF2">
            <w:pPr>
              <w:spacing w:before="40" w:after="4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C0BD0">
              <w:rPr>
                <w:rFonts w:ascii="Calibri" w:hAnsi="Calibri"/>
                <w:b/>
                <w:bCs/>
              </w:rPr>
              <w:t>3</w:t>
            </w:r>
            <w:r w:rsidRPr="00CC0BD0">
              <w:rPr>
                <w:rFonts w:ascii="Calibri" w:hAnsi="Calibri"/>
                <w:b/>
                <w:bCs/>
                <w:vertAlign w:val="superscript"/>
              </w:rPr>
              <w:t>ème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6133D4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CC0BD0">
              <w:rPr>
                <w:b/>
                <w:bCs/>
              </w:rPr>
              <w:t>au 10/09/</w:t>
            </w:r>
            <w:r w:rsidR="00DF733F">
              <w:rPr>
                <w:b/>
                <w:bCs/>
              </w:rPr>
              <w:t>2016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CC0BD0" w:rsidP="003839C4">
            <w:pPr>
              <w:spacing w:before="40" w:after="40" w:line="240" w:lineRule="auto"/>
              <w:jc w:val="center"/>
            </w:pPr>
            <w:r>
              <w:t>5</w:t>
            </w:r>
            <w:r w:rsidR="003839C4">
              <w:t>8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135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6133D4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CC0BD0">
              <w:rPr>
                <w:b/>
                <w:bCs/>
              </w:rPr>
              <w:t>au 01/10/</w:t>
            </w:r>
            <w:r w:rsidR="00DF733F">
              <w:rPr>
                <w:b/>
                <w:bCs/>
              </w:rPr>
              <w:t>2016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58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135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6133D4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CC0BD0">
              <w:rPr>
                <w:b/>
                <w:bCs/>
              </w:rPr>
              <w:t>au 01/11/</w:t>
            </w:r>
            <w:r w:rsidR="00DF733F">
              <w:rPr>
                <w:b/>
                <w:bCs/>
              </w:rPr>
              <w:t>2016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58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135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6133D4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CC0BD0">
              <w:rPr>
                <w:b/>
                <w:bCs/>
              </w:rPr>
              <w:t>au 01/12/</w:t>
            </w:r>
            <w:r w:rsidR="00DF733F">
              <w:rPr>
                <w:b/>
                <w:bCs/>
              </w:rPr>
              <w:t>2016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58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tabs>
                <w:tab w:val="center" w:pos="468"/>
              </w:tabs>
              <w:spacing w:before="40" w:after="40" w:line="240" w:lineRule="auto"/>
              <w:jc w:val="center"/>
            </w:pPr>
            <w:r>
              <w:t>63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135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6133D4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CC0BD0">
              <w:rPr>
                <w:b/>
                <w:bCs/>
              </w:rPr>
              <w:t>au 01/01/</w:t>
            </w:r>
            <w:r w:rsidR="00DF733F">
              <w:rPr>
                <w:b/>
                <w:bCs/>
              </w:rPr>
              <w:t>2017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58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135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CC0BD0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01/02/</w:t>
            </w:r>
            <w:r w:rsidR="00DF733F">
              <w:rPr>
                <w:b/>
                <w:bCs/>
              </w:rPr>
              <w:t>2017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58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135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CC0BD0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01/03/</w:t>
            </w:r>
            <w:r w:rsidR="00DF733F">
              <w:rPr>
                <w:b/>
                <w:bCs/>
              </w:rPr>
              <w:t>2017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59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64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136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CC0BD0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01/04/</w:t>
            </w:r>
            <w:r w:rsidR="00DF733F">
              <w:rPr>
                <w:b/>
                <w:bCs/>
              </w:rPr>
              <w:t>2017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58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130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135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CC0BD0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01/05/</w:t>
            </w:r>
            <w:r w:rsidR="00DF733F">
              <w:rPr>
                <w:b/>
                <w:bCs/>
              </w:rPr>
              <w:t>2017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59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64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131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133</w:t>
            </w:r>
            <w:r w:rsidR="006133D4" w:rsidRPr="00CC0BD0">
              <w:t>,00 €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136</w:t>
            </w:r>
            <w:r w:rsidR="006133D4" w:rsidRPr="00CC0BD0">
              <w:t>,00 €</w:t>
            </w:r>
          </w:p>
        </w:tc>
      </w:tr>
      <w:tr w:rsidR="006133D4" w:rsidRPr="00CC0BD0" w:rsidTr="00344CF2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CC0BD0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01/06/</w:t>
            </w:r>
            <w:r w:rsidR="00DF733F">
              <w:rPr>
                <w:b/>
                <w:bCs/>
              </w:rPr>
              <w:t>2017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DF733F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,10 €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58</w:t>
            </w:r>
            <w:r w:rsidR="006133D4" w:rsidRPr="00CC0BD0">
              <w:t>,10 €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60</w:t>
            </w:r>
            <w:r w:rsidR="006133D4" w:rsidRPr="00CC0BD0">
              <w:t>,10 €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63</w:t>
            </w:r>
            <w:r w:rsidR="006133D4" w:rsidRPr="00CC0BD0">
              <w:t>,10 €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,10 €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130</w:t>
            </w:r>
            <w:r w:rsidR="006133D4" w:rsidRPr="00CC0BD0">
              <w:t>,10 €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132</w:t>
            </w:r>
            <w:r w:rsidR="006133D4" w:rsidRPr="00CC0BD0">
              <w:t>,10 €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6133D4" w:rsidRPr="00CC0BD0" w:rsidRDefault="003839C4" w:rsidP="00344CF2">
            <w:pPr>
              <w:spacing w:before="40" w:after="40" w:line="240" w:lineRule="auto"/>
              <w:jc w:val="center"/>
            </w:pPr>
            <w:r>
              <w:t>135</w:t>
            </w:r>
            <w:r w:rsidR="006133D4" w:rsidRPr="00CC0BD0">
              <w:t>,10 €</w:t>
            </w:r>
          </w:p>
        </w:tc>
      </w:tr>
      <w:tr w:rsidR="006133D4" w:rsidRPr="00CC0BD0" w:rsidTr="001331A8">
        <w:trPr>
          <w:cantSplit/>
          <w:jc w:val="center"/>
        </w:trPr>
        <w:tc>
          <w:tcPr>
            <w:tcW w:w="21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133D4" w:rsidRPr="00CC0BD0" w:rsidRDefault="006133D4" w:rsidP="00DF733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CC0BD0">
              <w:rPr>
                <w:b/>
                <w:bCs/>
              </w:rPr>
              <w:t>au 15/07/</w:t>
            </w:r>
            <w:r w:rsidR="00DF733F">
              <w:rPr>
                <w:b/>
                <w:bCs/>
              </w:rPr>
              <w:t>2017</w:t>
            </w:r>
          </w:p>
        </w:tc>
        <w:tc>
          <w:tcPr>
            <w:tcW w:w="8616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133D4" w:rsidRPr="00CC0BD0" w:rsidRDefault="00344CF2" w:rsidP="00344CF2">
            <w:pPr>
              <w:spacing w:before="40" w:after="40" w:line="240" w:lineRule="auto"/>
              <w:jc w:val="center"/>
            </w:pPr>
            <w:r>
              <w:t>Solde + Facture de régularisation</w:t>
            </w:r>
          </w:p>
        </w:tc>
      </w:tr>
      <w:tr w:rsidR="00344CF2" w:rsidRPr="00CC0BD0" w:rsidTr="001331A8">
        <w:trPr>
          <w:cantSplit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</w:tcPr>
          <w:p w:rsidR="00344CF2" w:rsidRPr="00CC0BD0" w:rsidRDefault="00344CF2" w:rsidP="00344CF2">
            <w:pPr>
              <w:spacing w:before="40" w:after="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</w:tcPr>
          <w:p w:rsidR="00344CF2" w:rsidRPr="00344CF2" w:rsidRDefault="003839C4" w:rsidP="00344CF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605</w:t>
            </w:r>
            <w:r w:rsidR="00344CF2">
              <w:rPr>
                <w:b/>
              </w:rPr>
              <w:t>,10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44CF2" w:rsidRPr="00344CF2" w:rsidRDefault="003839C4" w:rsidP="00344CF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582</w:t>
            </w:r>
            <w:r w:rsidR="00344CF2">
              <w:rPr>
                <w:b/>
              </w:rPr>
              <w:t>,10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44CF2" w:rsidRPr="00344CF2" w:rsidRDefault="003839C4" w:rsidP="00344CF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605</w:t>
            </w:r>
            <w:r w:rsidR="00344CF2">
              <w:rPr>
                <w:b/>
              </w:rPr>
              <w:t>,10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44CF2" w:rsidRPr="00344CF2" w:rsidRDefault="003839C4" w:rsidP="00344CF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632</w:t>
            </w:r>
            <w:r w:rsidR="00344CF2">
              <w:rPr>
                <w:b/>
              </w:rPr>
              <w:t>,10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44CF2" w:rsidRPr="00344CF2" w:rsidRDefault="00344CF2" w:rsidP="003839C4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3839C4">
              <w:rPr>
                <w:b/>
              </w:rPr>
              <w:t>325</w:t>
            </w:r>
            <w:r>
              <w:rPr>
                <w:b/>
              </w:rPr>
              <w:t>,10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44CF2" w:rsidRPr="00344CF2" w:rsidRDefault="00344CF2" w:rsidP="003839C4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3839C4">
              <w:rPr>
                <w:b/>
              </w:rPr>
              <w:t>302</w:t>
            </w:r>
            <w:r>
              <w:rPr>
                <w:b/>
              </w:rPr>
              <w:t>,10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44CF2" w:rsidRPr="00344CF2" w:rsidRDefault="00344CF2" w:rsidP="003839C4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3839C4">
              <w:rPr>
                <w:b/>
              </w:rPr>
              <w:t>325</w:t>
            </w:r>
            <w:r>
              <w:rPr>
                <w:b/>
              </w:rPr>
              <w:t>,10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44CF2" w:rsidRPr="00344CF2" w:rsidRDefault="00344CF2" w:rsidP="003839C4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3839C4">
              <w:rPr>
                <w:b/>
              </w:rPr>
              <w:t>352</w:t>
            </w:r>
            <w:r>
              <w:rPr>
                <w:b/>
              </w:rPr>
              <w:t>,10</w:t>
            </w:r>
          </w:p>
        </w:tc>
      </w:tr>
    </w:tbl>
    <w:p w:rsidR="007A0333" w:rsidRDefault="007A0333" w:rsidP="008E7E83">
      <w:pPr>
        <w:spacing w:after="0" w:line="240" w:lineRule="auto"/>
        <w:jc w:val="both"/>
        <w:rPr>
          <w:sz w:val="18"/>
          <w:szCs w:val="18"/>
        </w:rPr>
      </w:pPr>
    </w:p>
    <w:p w:rsidR="008E7E83" w:rsidRDefault="008E7E83" w:rsidP="008E7E83">
      <w:pPr>
        <w:spacing w:after="0" w:line="240" w:lineRule="auto"/>
        <w:jc w:val="both"/>
        <w:rPr>
          <w:rFonts w:ascii="Papyrus LET" w:hAnsi="Papyrus LET"/>
          <w:sz w:val="26"/>
        </w:rPr>
      </w:pPr>
    </w:p>
    <w:p w:rsidR="008E7E83" w:rsidRDefault="008E7E83" w:rsidP="008E7E83">
      <w:pPr>
        <w:spacing w:after="0" w:line="240" w:lineRule="auto"/>
        <w:jc w:val="both"/>
        <w:rPr>
          <w:rFonts w:ascii="Papyrus LET" w:hAnsi="Papyrus LET"/>
        </w:rPr>
      </w:pPr>
      <w:r>
        <w:rPr>
          <w:rFonts w:ascii="Papyrus LET" w:hAnsi="Papyrus LE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F8258" wp14:editId="5E182FBA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696075" cy="0"/>
                <wp:effectExtent l="12700" t="14605" r="15875" b="1397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2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" strokecolor="#fc0" strokeweight="1.5pt"/>
            </w:pict>
          </mc:Fallback>
        </mc:AlternateContent>
      </w:r>
      <w:r>
        <w:rPr>
          <w:rFonts w:ascii="Papyrus LET" w:hAnsi="Papyrus LET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BD087" wp14:editId="51ABC2B4">
                <wp:simplePos x="0" y="0"/>
                <wp:positionH relativeFrom="column">
                  <wp:posOffset>-25400</wp:posOffset>
                </wp:positionH>
                <wp:positionV relativeFrom="paragraph">
                  <wp:posOffset>50165</wp:posOffset>
                </wp:positionV>
                <wp:extent cx="6743700" cy="457200"/>
                <wp:effectExtent l="0" t="254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pStyle w:val="Titre3"/>
                              <w:spacing w:before="60"/>
                              <w:rPr>
                                <w:rFonts w:eastAsia="Arial Unicode MS"/>
                                <w:color w:val="00003C"/>
                                <w:sz w:val="16"/>
                              </w:rPr>
                            </w:pPr>
                            <w:r>
                              <w:rPr>
                                <w:rFonts w:eastAsia="Arial Unicode MS"/>
                                <w:color w:val="00003C"/>
                                <w:sz w:val="16"/>
                              </w:rPr>
                              <w:t>COLL</w:t>
                            </w:r>
                            <w:r>
                              <w:rPr>
                                <w:rFonts w:eastAsia="Arial Unicode MS"/>
                                <w:caps/>
                                <w:color w:val="00003C"/>
                                <w:sz w:val="16"/>
                              </w:rPr>
                              <w:t>è</w:t>
                            </w:r>
                            <w:r>
                              <w:rPr>
                                <w:rFonts w:eastAsia="Arial Unicode MS"/>
                                <w:color w:val="00003C"/>
                                <w:sz w:val="16"/>
                              </w:rPr>
                              <w:t>GE PRIVE SAINTE</w:t>
                            </w:r>
                            <w:r>
                              <w:rPr>
                                <w:rFonts w:eastAsia="Arial Unicode MS"/>
                                <w:color w:val="FF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eastAsia="Arial Unicode MS"/>
                                <w:color w:val="00003C"/>
                                <w:sz w:val="16"/>
                              </w:rPr>
                              <w:t xml:space="preserve">MARIE    Place Saint-Pierre    B.P. 50119    62120 Aire-sur-la-Lys    </w:t>
                            </w:r>
                            <w:r>
                              <w:rPr>
                                <w:rFonts w:eastAsia="Arial Unicode MS"/>
                                <w:color w:val="00003C"/>
                                <w:sz w:val="16"/>
                                <w:u w:val="single" w:color="FF0000"/>
                              </w:rPr>
                              <w:t>Tél</w:t>
                            </w:r>
                            <w:r>
                              <w:rPr>
                                <w:rFonts w:eastAsia="Arial Unicode MS"/>
                                <w:color w:val="00003C"/>
                                <w:sz w:val="16"/>
                              </w:rPr>
                              <w:t xml:space="preserve">. : 03.21.39.04.98    </w:t>
                            </w:r>
                            <w:r>
                              <w:rPr>
                                <w:rFonts w:eastAsia="Arial Unicode MS"/>
                                <w:color w:val="00003C"/>
                                <w:sz w:val="16"/>
                                <w:u w:val="single" w:color="FF0000"/>
                              </w:rPr>
                              <w:t>Fax</w:t>
                            </w:r>
                            <w:r>
                              <w:rPr>
                                <w:rFonts w:eastAsia="Arial Unicode MS"/>
                                <w:color w:val="00003C"/>
                                <w:sz w:val="16"/>
                              </w:rPr>
                              <w:t xml:space="preserve"> : 03.21.95.00.21</w:t>
                            </w:r>
                          </w:p>
                          <w:p w:rsidR="008E7E83" w:rsidRPr="004F2843" w:rsidRDefault="008E7E83" w:rsidP="008E7E83">
                            <w:pPr>
                              <w:pStyle w:val="Titre3"/>
                              <w:spacing w:before="60"/>
                              <w:rPr>
                                <w:rFonts w:eastAsia="Arial Unicode MS"/>
                                <w:color w:val="00003C"/>
                                <w:sz w:val="15"/>
                                <w:szCs w:val="15"/>
                              </w:rPr>
                            </w:pPr>
                            <w:r w:rsidRPr="004F2843">
                              <w:rPr>
                                <w:rFonts w:eastAsia="Arial Unicode MS"/>
                                <w:color w:val="00003C"/>
                                <w:sz w:val="15"/>
                                <w:szCs w:val="15"/>
                                <w:u w:val="single" w:color="FF0000"/>
                              </w:rPr>
                              <w:t>E-mail</w:t>
                            </w:r>
                            <w:r w:rsidRPr="004F2843">
                              <w:rPr>
                                <w:rFonts w:eastAsia="Arial Unicode MS"/>
                                <w:color w:val="00003C"/>
                                <w:sz w:val="15"/>
                                <w:szCs w:val="15"/>
                              </w:rPr>
                              <w:t xml:space="preserve"> : contact@collegesaintemarieaire.com    </w:t>
                            </w:r>
                            <w:r w:rsidRPr="004F2843">
                              <w:rPr>
                                <w:rFonts w:eastAsia="Arial Unicode MS"/>
                                <w:color w:val="00003C"/>
                                <w:sz w:val="15"/>
                                <w:szCs w:val="15"/>
                                <w:u w:val="single" w:color="FF0000"/>
                              </w:rPr>
                              <w:t>Site Internet</w:t>
                            </w:r>
                            <w:r w:rsidRPr="004F2843">
                              <w:rPr>
                                <w:rFonts w:eastAsia="Arial Unicode MS"/>
                                <w:color w:val="00003C"/>
                                <w:sz w:val="15"/>
                                <w:szCs w:val="15"/>
                              </w:rPr>
                              <w:t xml:space="preserve"> : www.collegesaintemarieaire.com</w:t>
                            </w:r>
                          </w:p>
                          <w:p w:rsidR="008E7E83" w:rsidRDefault="008E7E83" w:rsidP="008E7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2pt;margin-top:3.95pt;width:53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" filled="f" stroked="f">
                <v:textbox>
                  <w:txbxContent>
                    <w:p w:rsidR="008E7E83" w:rsidRDefault="008E7E83" w:rsidP="008E7E83">
                      <w:pPr>
                        <w:pStyle w:val="Titre3"/>
                        <w:spacing w:before="60"/>
                        <w:rPr>
                          <w:rFonts w:eastAsia="Arial Unicode MS"/>
                          <w:color w:val="00003C"/>
                          <w:sz w:val="16"/>
                        </w:rPr>
                      </w:pPr>
                      <w:r>
                        <w:rPr>
                          <w:rFonts w:eastAsia="Arial Unicode MS"/>
                          <w:color w:val="00003C"/>
                          <w:sz w:val="16"/>
                        </w:rPr>
                        <w:t>COLL</w:t>
                      </w:r>
                      <w:r>
                        <w:rPr>
                          <w:rFonts w:eastAsia="Arial Unicode MS"/>
                          <w:caps/>
                          <w:color w:val="00003C"/>
                          <w:sz w:val="16"/>
                        </w:rPr>
                        <w:t>è</w:t>
                      </w:r>
                      <w:r>
                        <w:rPr>
                          <w:rFonts w:eastAsia="Arial Unicode MS"/>
                          <w:color w:val="00003C"/>
                          <w:sz w:val="16"/>
                        </w:rPr>
                        <w:t>GE PRIVE SAINTE</w:t>
                      </w:r>
                      <w:r>
                        <w:rPr>
                          <w:rFonts w:eastAsia="Arial Unicode MS"/>
                          <w:color w:val="FF0000"/>
                          <w:sz w:val="16"/>
                        </w:rPr>
                        <w:t>-</w:t>
                      </w:r>
                      <w:r>
                        <w:rPr>
                          <w:rFonts w:eastAsia="Arial Unicode MS"/>
                          <w:color w:val="00003C"/>
                          <w:sz w:val="16"/>
                        </w:rPr>
                        <w:t xml:space="preserve">MARIE    Place Saint-Pierre    B.P. 50119    62120 Aire-sur-la-Lys    </w:t>
                      </w:r>
                      <w:r>
                        <w:rPr>
                          <w:rFonts w:eastAsia="Arial Unicode MS"/>
                          <w:color w:val="00003C"/>
                          <w:sz w:val="16"/>
                          <w:u w:val="single" w:color="FF0000"/>
                        </w:rPr>
                        <w:t>Tél</w:t>
                      </w:r>
                      <w:r>
                        <w:rPr>
                          <w:rFonts w:eastAsia="Arial Unicode MS"/>
                          <w:color w:val="00003C"/>
                          <w:sz w:val="16"/>
                        </w:rPr>
                        <w:t xml:space="preserve">. : 03.21.39.04.98    </w:t>
                      </w:r>
                      <w:r>
                        <w:rPr>
                          <w:rFonts w:eastAsia="Arial Unicode MS"/>
                          <w:color w:val="00003C"/>
                          <w:sz w:val="16"/>
                          <w:u w:val="single" w:color="FF0000"/>
                        </w:rPr>
                        <w:t>Fax</w:t>
                      </w:r>
                      <w:r>
                        <w:rPr>
                          <w:rFonts w:eastAsia="Arial Unicode MS"/>
                          <w:color w:val="00003C"/>
                          <w:sz w:val="16"/>
                        </w:rPr>
                        <w:t xml:space="preserve"> : 03.21.95.00.21</w:t>
                      </w:r>
                    </w:p>
                    <w:p w:rsidR="008E7E83" w:rsidRPr="004F2843" w:rsidRDefault="008E7E83" w:rsidP="008E7E83">
                      <w:pPr>
                        <w:pStyle w:val="Titre3"/>
                        <w:spacing w:before="60"/>
                        <w:rPr>
                          <w:rFonts w:eastAsia="Arial Unicode MS"/>
                          <w:color w:val="00003C"/>
                          <w:sz w:val="15"/>
                          <w:szCs w:val="15"/>
                        </w:rPr>
                      </w:pPr>
                      <w:r w:rsidRPr="004F2843">
                        <w:rPr>
                          <w:rFonts w:eastAsia="Arial Unicode MS"/>
                          <w:color w:val="00003C"/>
                          <w:sz w:val="15"/>
                          <w:szCs w:val="15"/>
                          <w:u w:val="single" w:color="FF0000"/>
                        </w:rPr>
                        <w:t>E-mail</w:t>
                      </w:r>
                      <w:r w:rsidRPr="004F2843">
                        <w:rPr>
                          <w:rFonts w:eastAsia="Arial Unicode MS"/>
                          <w:color w:val="00003C"/>
                          <w:sz w:val="15"/>
                          <w:szCs w:val="15"/>
                        </w:rPr>
                        <w:t xml:space="preserve"> : contact@collegesaintemarieaire.com    </w:t>
                      </w:r>
                      <w:r w:rsidRPr="004F2843">
                        <w:rPr>
                          <w:rFonts w:eastAsia="Arial Unicode MS"/>
                          <w:color w:val="00003C"/>
                          <w:sz w:val="15"/>
                          <w:szCs w:val="15"/>
                          <w:u w:val="single" w:color="FF0000"/>
                        </w:rPr>
                        <w:t>Site Internet</w:t>
                      </w:r>
                      <w:r w:rsidRPr="004F2843">
                        <w:rPr>
                          <w:rFonts w:eastAsia="Arial Unicode MS"/>
                          <w:color w:val="00003C"/>
                          <w:sz w:val="15"/>
                          <w:szCs w:val="15"/>
                        </w:rPr>
                        <w:t xml:space="preserve"> : www.collegesaintemarieaire.com</w:t>
                      </w:r>
                    </w:p>
                    <w:p w:rsidR="008E7E83" w:rsidRDefault="008E7E83" w:rsidP="008E7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7E83" w:rsidRDefault="008E7E83" w:rsidP="008E7E83">
      <w:pPr>
        <w:spacing w:after="0" w:line="240" w:lineRule="auto"/>
        <w:jc w:val="both"/>
      </w:pPr>
    </w:p>
    <w:sectPr w:rsidR="008E7E83" w:rsidSect="006133D4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3AE"/>
    <w:multiLevelType w:val="hybridMultilevel"/>
    <w:tmpl w:val="EB4C8720"/>
    <w:lvl w:ilvl="0" w:tplc="39224C48">
      <w:start w:val="4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3"/>
    <w:rsid w:val="001331A8"/>
    <w:rsid w:val="00223368"/>
    <w:rsid w:val="00344CF2"/>
    <w:rsid w:val="003839C4"/>
    <w:rsid w:val="004616C0"/>
    <w:rsid w:val="004F1FDB"/>
    <w:rsid w:val="00524C3B"/>
    <w:rsid w:val="006133D4"/>
    <w:rsid w:val="006F2830"/>
    <w:rsid w:val="00751696"/>
    <w:rsid w:val="0076374B"/>
    <w:rsid w:val="007A0333"/>
    <w:rsid w:val="007F2199"/>
    <w:rsid w:val="008129B5"/>
    <w:rsid w:val="008E7E83"/>
    <w:rsid w:val="009202C9"/>
    <w:rsid w:val="009D60AA"/>
    <w:rsid w:val="009E7D71"/>
    <w:rsid w:val="00A36D47"/>
    <w:rsid w:val="00A93BE3"/>
    <w:rsid w:val="00C354FB"/>
    <w:rsid w:val="00C57A5B"/>
    <w:rsid w:val="00CB402A"/>
    <w:rsid w:val="00CC0BD0"/>
    <w:rsid w:val="00CD0DD1"/>
    <w:rsid w:val="00DD523E"/>
    <w:rsid w:val="00DF733F"/>
    <w:rsid w:val="00F42E1A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E7E83"/>
    <w:pPr>
      <w:keepNext/>
      <w:spacing w:after="0" w:line="240" w:lineRule="auto"/>
      <w:jc w:val="center"/>
      <w:outlineLvl w:val="2"/>
    </w:pPr>
    <w:rPr>
      <w:rFonts w:ascii="Trebuchet MS" w:eastAsia="Times New Roman" w:hAnsi="Trebuchet MS" w:cs="Times New Roman"/>
      <w:b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E7E83"/>
    <w:rPr>
      <w:rFonts w:ascii="Trebuchet MS" w:eastAsia="Times New Roman" w:hAnsi="Trebuchet MS" w:cs="Times New Roman"/>
      <w:b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402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1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E7E83"/>
    <w:pPr>
      <w:keepNext/>
      <w:spacing w:after="0" w:line="240" w:lineRule="auto"/>
      <w:jc w:val="center"/>
      <w:outlineLvl w:val="2"/>
    </w:pPr>
    <w:rPr>
      <w:rFonts w:ascii="Trebuchet MS" w:eastAsia="Times New Roman" w:hAnsi="Trebuchet MS" w:cs="Times New Roman"/>
      <w:b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E7E83"/>
    <w:rPr>
      <w:rFonts w:ascii="Trebuchet MS" w:eastAsia="Times New Roman" w:hAnsi="Trebuchet MS" w:cs="Times New Roman"/>
      <w:b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402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1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Burgho Dorothée</dc:creator>
  <cp:lastModifiedBy>Burgho Dorothée</cp:lastModifiedBy>
  <cp:revision>2</cp:revision>
  <cp:lastPrinted>2016-09-20T07:52:00Z</cp:lastPrinted>
  <dcterms:created xsi:type="dcterms:W3CDTF">2016-10-14T13:43:00Z</dcterms:created>
  <dcterms:modified xsi:type="dcterms:W3CDTF">2016-10-14T13:43:00Z</dcterms:modified>
</cp:coreProperties>
</file>